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Heading1"/>
      </w:pPr>
      <w:r>
        <w:t>Compliance Notes</w:t>
      </w:r>
    </w:p>
    <w:p>
      <w:pPr>
        <w:ind w:left="720"/>
      </w:pPr>
      <w:r>
        <w:rPr>
          <w:i/>
          <w:color w:val="666666"/>
        </w:rPr>
        <w:t xml:space="preserve">**Document Version:** 1.0  </w:t>
      </w:r>
    </w:p>
    <w:p>
      <w:pPr>
        <w:ind w:left="720"/>
      </w:pPr>
      <w:r>
        <w:rPr>
          <w:i/>
          <w:color w:val="666666"/>
        </w:rPr>
        <w:t xml:space="preserve">**Document Owner:** Acme Inc  </w:t>
      </w:r>
    </w:p>
    <w:p>
      <w:pPr>
        <w:ind w:left="720"/>
      </w:pPr>
      <w:r>
        <w:rPr>
          <w:i/>
          <w:color w:val="666666"/>
        </w:rPr>
        <w:t xml:space="preserve">**Next Review Date:** 2027-03-19</w:t>
      </w:r>
    </w:p>
    <w:p>
      <w:r>
        <w:t xml:space="preserve">Company: Acme Inc</w:t>
      </w:r>
    </w:p>
    <w:p>
      <w:r>
        <w:t xml:space="preserve">Last updated: 2026-03-19</w:t>
      </w:r>
    </w:p>
    <w:p>
      <w:r>
        <w:t xml:space="preserve">Project: nextjs-saas-example</w:t>
      </w:r>
    </w:p>
    <w:p>
      <w:pPr>
        <w:pStyle w:val="Heading2"/>
      </w:pPr>
      <w:r>
        <w:t>Related Documents</w:t>
      </w:r>
    </w:p>
    <w:p>
      <w:pPr>
        <w:pStyle w:val="ListParagraph"/>
        <w:numPr>
          <w:ilvl w:val="0"/>
          <w:numId w:val="1"/>
        </w:numPr>
      </w:pPr>
      <w:r>
        <w:t xml:space="preserve">Compliance Timeline (`COMPLIANCE_TIMELINE.md`)</w:t>
      </w:r>
    </w:p>
    <w:p>
      <w:pPr>
        <w:pStyle w:val="ListParagraph"/>
        <w:numPr>
          <w:ilvl w:val="0"/>
          <w:numId w:val="1"/>
        </w:numPr>
      </w:pPr>
      <w:r>
        <w:t xml:space="preserve">Annual Review Checklist (`ANNUAL_REVIEW_CHECKLIST.md`)</w:t>
      </w:r>
    </w:p>
    <w:p>
      <w:pPr>
        <w:pStyle w:val="ListParagraph"/>
        <w:numPr>
          <w:ilvl w:val="0"/>
          <w:numId w:val="1"/>
        </w:numPr>
      </w:pPr>
      <w:r>
        <w:t xml:space="preserve">Regulatory Updates (`REGULATORY_UPDATES.md`)</w:t>
      </w:r>
    </w:p>
    <w:p>
      <w:pPr>
        <w:pBdr>
          <w:bottom w:val="single" w:sz="6" w:space="1" w:color="999999"/>
        </w:pBdr>
      </w:pPr>
    </w:p>
    <w:p>
      <w:r>
        <w:t xml:space="preserve">This document provides an overview of privacy and data protection regulations that may apply to your project based on the services detected in your codebase and your configured jurisdictions.</w:t>
      </w:r>
    </w:p>
    <w:p>
      <w:pPr>
        <w:ind w:left="720"/>
      </w:pPr>
      <w:r>
        <w:rPr>
          <w:i/>
          <w:color w:val="666666"/>
        </w:rPr>
        <w:t xml:space="preserve">**Disclaimer:** This is not legal advice. Consult qualified legal counsel to determine your specific compliance obligations.</w:t>
      </w:r>
    </w:p>
    <w:p>
      <w:pPr>
        <w:pStyle w:val="Heading2"/>
      </w:pPr>
      <w:r>
        <w:t>1. Detected Services Summary</w:t>
      </w:r>
    </w:p>
    <w:p>
      <w:r>
        <w:rPr>
          <w:sz w:val="20"/>
        </w:rPr>
        <w:t xml:space="preserve">Service  |  Category  |  Data Collected</w:t>
      </w:r>
    </w:p>
    <w:p>
      <w:r>
        <w:rPr>
          <w:sz w:val="20"/>
        </w:rPr>
        <w:t xml:space="preserve">@sentry/node  |  Error Monitoring  |  error data, stack traces, user context</w:t>
      </w:r>
    </w:p>
    <w:p>
      <w:r>
        <w:rPr>
          <w:sz w:val="20"/>
        </w:rPr>
        <w:t xml:space="preserve">@supabase/supabase-js  |  Authentication  |  email, password hash, session data</w:t>
      </w:r>
    </w:p>
    <w:p>
      <w:r>
        <w:rPr>
          <w:sz w:val="20"/>
        </w:rPr>
        <w:t xml:space="preserve">openai  |  AI Service  |  user prompts, conversation history, generated content</w:t>
      </w:r>
    </w:p>
    <w:p>
      <w:r>
        <w:rPr>
          <w:sz w:val="20"/>
        </w:rPr>
        <w:t xml:space="preserve">posthog  |  Analytics  |  user behavior, session recordings, feature flag usage</w:t>
      </w:r>
    </w:p>
    <w:p>
      <w:r>
        <w:rPr>
          <w:sz w:val="20"/>
        </w:rPr>
        <w:t xml:space="preserve">prisma  |  Database  |  user data as defined in schema</w:t>
      </w:r>
    </w:p>
    <w:p>
      <w:r>
        <w:rPr>
          <w:sz w:val="20"/>
        </w:rPr>
        <w:t xml:space="preserve">resend  |  Email Service  |  email addresses, email content</w:t>
      </w:r>
    </w:p>
    <w:p>
      <w:r>
        <w:rPr>
          <w:sz w:val="20"/>
        </w:rPr>
        <w:t xml:space="preserve">stripe  |  Payment Processing  |  payment information, billing address, email</w:t>
      </w:r>
    </w:p>
    <w:p>
      <w:r>
        <w:rPr>
          <w:sz w:val="20"/>
        </w:rPr>
        <w:t xml:space="preserve">stripe-ios  |  Payment Processing  |  payment information, billing address, email</w:t>
      </w:r>
    </w:p>
    <w:p>
      <w:pPr>
        <w:pStyle w:val="Heading2"/>
      </w:pPr>
      <w:r>
        <w:t>2. California Consumer Privacy Act (CCPA/CPRA)</w:t>
      </w:r>
    </w:p>
    <w:p>
      <w:r>
        <w:t xml:space="preserve">Applies to: Businesses that collect personal information of California residents</w:t>
      </w:r>
    </w:p>
    <w:p>
      <w:r>
        <w:t xml:space="preserve">Enforcement date: January 1, 2020 (CCPA); January 1, 2023 (CPRA amendments)</w:t>
      </w:r>
    </w:p>
    <w:p>
      <w:r>
        <w:t xml:space="preserve">Maximum fine: $7,500 per intentional violation</w:t>
      </w:r>
    </w:p>
    <w:p>
      <w:pPr>
        <w:pStyle w:val="Heading3"/>
      </w:pPr>
      <w:r>
        <w:t>Key Requirements</w:t>
      </w:r>
    </w:p>
    <w:p>
      <w:pPr>
        <w:pStyle w:val="ListParagraph"/>
        <w:numPr>
          <w:ilvl w:val="0"/>
          <w:numId w:val="1"/>
        </w:numPr>
      </w:pPr>
      <w:r>
        <w:t xml:space="preserve">[ ] Provide a "Do Not Sell or Share My Personal Information" link</w:t>
      </w:r>
    </w:p>
    <w:p>
      <w:pPr>
        <w:pStyle w:val="ListParagraph"/>
        <w:numPr>
          <w:ilvl w:val="0"/>
          <w:numId w:val="1"/>
        </w:numPr>
      </w:pPr>
      <w:r>
        <w:t xml:space="preserve">[ ] Disclose categories of personal information collected and purposes</w:t>
      </w:r>
    </w:p>
    <w:p>
      <w:pPr>
        <w:pStyle w:val="ListParagraph"/>
        <w:numPr>
          <w:ilvl w:val="0"/>
          <w:numId w:val="1"/>
        </w:numPr>
      </w:pPr>
      <w:r>
        <w:t xml:space="preserve">[ ] Honor opt-out requests within 15 business days</w:t>
      </w:r>
    </w:p>
    <w:p>
      <w:pPr>
        <w:pStyle w:val="ListParagraph"/>
        <w:numPr>
          <w:ilvl w:val="0"/>
          <w:numId w:val="1"/>
        </w:numPr>
      </w:pPr>
      <w:r>
        <w:t xml:space="preserve">[ ] Respond to consumer requests within 45 days</w:t>
      </w:r>
    </w:p>
    <w:p>
      <w:pPr>
        <w:pStyle w:val="ListParagraph"/>
        <w:numPr>
          <w:ilvl w:val="0"/>
          <w:numId w:val="1"/>
        </w:numPr>
      </w:pPr>
      <w:r>
        <w:t xml:space="preserve">[ ] Provide at least two methods for consumers to submit requests</w:t>
      </w:r>
    </w:p>
    <w:p>
      <w:pPr>
        <w:pStyle w:val="ListParagraph"/>
        <w:numPr>
          <w:ilvl w:val="0"/>
          <w:numId w:val="1"/>
        </w:numPr>
      </w:pPr>
      <w:r>
        <w:t xml:space="preserve">[ ] Include CCPA-specific disclosures in your privacy policy</w:t>
      </w:r>
    </w:p>
    <w:p>
      <w:pPr>
        <w:pStyle w:val="ListParagraph"/>
        <w:numPr>
          <w:ilvl w:val="0"/>
          <w:numId w:val="1"/>
        </w:numPr>
      </w:pPr>
      <w:r>
        <w:t xml:space="preserve">[ ] Honor Global Privacy Control (GPC) signals</w:t>
      </w:r>
    </w:p>
    <w:p>
      <w:pPr>
        <w:pStyle w:val="ListParagraph"/>
        <w:numPr>
          <w:ilvl w:val="0"/>
          <w:numId w:val="1"/>
        </w:numPr>
      </w:pPr>
      <w:r>
        <w:t xml:space="preserve">[ ] Review analytics service data sharing — may constitute "sale" or "sharing" under CCPA</w:t>
      </w:r>
    </w:p>
    <w:p>
      <w:pPr>
        <w:pStyle w:val="ListParagraph"/>
        <w:numPr>
          <w:ilvl w:val="0"/>
          <w:numId w:val="1"/>
        </w:numPr>
      </w:pPr>
      <w:r>
        <w:t xml:space="preserve">[ ] Ensure payment processors have appropriate data processing agreements</w:t>
      </w:r>
    </w:p>
    <w:p>
      <w:pPr>
        <w:pStyle w:val="Heading2"/>
      </w:pPr>
      <w:r>
        <w:t>3. ePrivacy Directive (2002/58/EC)</w:t>
      </w:r>
    </w:p>
    <w:p>
      <w:r>
        <w:t xml:space="preserve">Applies to: Any service that uses cookies or similar tracking technologies for users in the EU/EEA</w:t>
      </w:r>
    </w:p>
    <w:p>
      <w:r>
        <w:t xml:space="preserve">Key article: Article 5(3) — prior opt-in consent for non-essential cookies</w:t>
      </w:r>
    </w:p>
    <w:p>
      <w:r>
        <w:t xml:space="preserve">Enforcement: National data protection authorities (e.g., CNIL fined SHEIN EUR 150M in 2026)</w:t>
      </w:r>
    </w:p>
    <w:p>
      <w:pPr>
        <w:pStyle w:val="Heading3"/>
      </w:pPr>
      <w:r>
        <w:t>Key Requirements</w:t>
      </w:r>
    </w:p>
    <w:p>
      <w:pPr>
        <w:pStyle w:val="ListParagraph"/>
        <w:numPr>
          <w:ilvl w:val="0"/>
          <w:numId w:val="1"/>
        </w:numPr>
      </w:pPr>
      <w:r>
        <w:t xml:space="preserve">[ ] Obtain prior opt-in consent before setting non-essential cookies</w:t>
      </w:r>
    </w:p>
    <w:p>
      <w:pPr>
        <w:pStyle w:val="ListParagraph"/>
        <w:numPr>
          <w:ilvl w:val="0"/>
          <w:numId w:val="1"/>
        </w:numPr>
      </w:pPr>
      <w:r>
        <w:t xml:space="preserve">[ ] Provide granular cookie consent controls (accept analytics but reject marketing)</w:t>
      </w:r>
    </w:p>
    <w:p>
      <w:pPr>
        <w:pStyle w:val="ListParagraph"/>
        <w:numPr>
          <w:ilvl w:val="0"/>
          <w:numId w:val="1"/>
        </w:numPr>
      </w:pPr>
      <w:r>
        <w:t xml:space="preserve">[ ] Ensure equal access to service regardless of cookie consent decision</w:t>
      </w:r>
    </w:p>
    <w:p>
      <w:pPr>
        <w:pStyle w:val="ListParagraph"/>
        <w:numPr>
          <w:ilvl w:val="0"/>
          <w:numId w:val="1"/>
        </w:numPr>
      </w:pPr>
      <w:r>
        <w:t xml:space="preserve">[ ] Make consent withdrawal as easy as giving consent</w:t>
      </w:r>
    </w:p>
    <w:p>
      <w:pPr>
        <w:pStyle w:val="ListParagraph"/>
        <w:numPr>
          <w:ilvl w:val="0"/>
          <w:numId w:val="1"/>
        </w:numPr>
      </w:pPr>
      <w:r>
        <w:t xml:space="preserve">[ ] Document and store consent records</w:t>
      </w:r>
    </w:p>
    <w:p>
      <w:pPr>
        <w:pStyle w:val="ListParagraph"/>
        <w:numPr>
          <w:ilvl w:val="0"/>
          <w:numId w:val="1"/>
        </w:numPr>
      </w:pPr>
      <w:r>
        <w:t xml:space="preserve">[ ] Implement complete consent signaling from banner through CMP to all tracking tools</w:t>
      </w:r>
    </w:p>
    <w:p>
      <w:pPr>
        <w:pStyle w:val="ListParagraph"/>
        <w:numPr>
          <w:ilvl w:val="0"/>
          <w:numId w:val="1"/>
        </w:numPr>
      </w:pPr>
      <w:r>
        <w:t xml:space="preserve">[ ] Classify detected analytics cookies and ensure each requires consent</w:t>
      </w:r>
    </w:p>
    <w:p>
      <w:pPr>
        <w:ind w:left="720"/>
      </w:pPr>
      <w:r>
        <w:rPr>
          <w:i/>
          <w:color w:val="666666"/>
        </w:rPr>
        <w:t xml:space="preserve">See the generated **Cookie Policy** document for details on detected cookies and tracking technologies.</w:t>
      </w:r>
    </w:p>
    <w:p>
      <w:pPr>
        <w:pStyle w:val="Heading2"/>
      </w:pPr>
      <w:r>
        <w:t>4. EU AI Act (Regulation 2024/1689)</w:t>
      </w:r>
    </w:p>
    <w:p>
      <w:r>
        <w:t xml:space="preserve">Applies to: Providers and deployers of AI systems in the EU</w:t>
      </w:r>
    </w:p>
    <w:p>
      <w:r>
        <w:t xml:space="preserve">Transparency obligations enforcement: August 2, 2026</w:t>
      </w:r>
    </w:p>
    <w:p>
      <w:r>
        <w:t xml:space="preserve">Maximum fine: EUR 35 million or 7% of annual global turnover</w:t>
      </w:r>
    </w:p>
    <w:p>
      <w:pPr>
        <w:pStyle w:val="Heading3"/>
      </w:pPr>
      <w:r>
        <w:t>Key Requirements for Deployers</w:t>
      </w:r>
    </w:p>
    <w:p>
      <w:pPr>
        <w:pStyle w:val="ListParagraph"/>
        <w:numPr>
          <w:ilvl w:val="0"/>
          <w:numId w:val="1"/>
        </w:numPr>
      </w:pPr>
      <w:r>
        <w:t xml:space="preserve">[ ] Classify AI systems by risk level (minimal, limited, high, unacceptable)</w:t>
      </w:r>
    </w:p>
    <w:p>
      <w:pPr>
        <w:pStyle w:val="ListParagraph"/>
        <w:numPr>
          <w:ilvl w:val="0"/>
          <w:numId w:val="1"/>
        </w:numPr>
      </w:pPr>
      <w:r>
        <w:t xml:space="preserve">[ ] Provide transparency disclosures per Article 50</w:t>
      </w:r>
    </w:p>
    <w:p>
      <w:pPr>
        <w:pStyle w:val="ListParagraph"/>
        <w:numPr>
          <w:ilvl w:val="0"/>
          <w:numId w:val="1"/>
        </w:numPr>
      </w:pPr>
      <w:r>
        <w:t xml:space="preserve">[ ] Implement human oversight measures</w:t>
      </w:r>
    </w:p>
    <w:p>
      <w:pPr>
        <w:pStyle w:val="ListParagraph"/>
        <w:numPr>
          <w:ilvl w:val="0"/>
          <w:numId w:val="1"/>
        </w:numPr>
      </w:pPr>
      <w:r>
        <w:t xml:space="preserve">[ ] Mark AI-generated content in machine-readable format (Art. 50(2))</w:t>
      </w:r>
    </w:p>
    <w:p>
      <w:pPr>
        <w:pStyle w:val="ListParagraph"/>
        <w:numPr>
          <w:ilvl w:val="0"/>
          <w:numId w:val="1"/>
        </w:numPr>
      </w:pPr>
      <w:r>
        <w:t xml:space="preserve">[ ] Maintain documentation of AI system usage</w:t>
      </w:r>
    </w:p>
    <w:p>
      <w:pPr>
        <w:ind w:left="720"/>
      </w:pPr>
      <w:r>
        <w:rPr>
          <w:i/>
          <w:color w:val="666666"/>
        </w:rPr>
        <w:t xml:space="preserve">See the generated **AI Disclosure** and **AI Act Compliance Checklist** documents for detailed requirements.</w:t>
      </w:r>
    </w:p>
    <w:p>
      <w:pPr>
        <w:pStyle w:val="Heading2"/>
      </w:pPr>
      <w:r>
        <w:t>5. Payment Card Industry Data Security Standard (PCI DSS)</w:t>
      </w:r>
    </w:p>
    <w:p>
      <w:r>
        <w:t xml:space="preserve">Applies to: Any entity that stores, processes, or transmits cardholder data</w:t>
      </w:r>
    </w:p>
    <w:p>
      <w:r>
        <w:t xml:space="preserve">Current version: PCI DSS v4.0.1 (mandatory March 31, 2025)</w:t>
      </w:r>
    </w:p>
    <w:p>
      <w:r>
        <w:t xml:space="preserve">Enforcement: Payment card brands (Visa, Mastercard, etc.) via acquiring banks</w:t>
      </w:r>
    </w:p>
    <w:p>
      <w:pPr>
        <w:pStyle w:val="Heading3"/>
      </w:pPr>
      <w:r>
        <w:t>Key Requirements</w:t>
      </w:r>
    </w:p>
    <w:p>
      <w:pPr>
        <w:pStyle w:val="ListParagraph"/>
        <w:numPr>
          <w:ilvl w:val="0"/>
          <w:numId w:val="1"/>
        </w:numPr>
      </w:pPr>
      <w:r>
        <w:t xml:space="preserve">[ ] Complete the appropriate Self-Assessment Questionnaire (SAQ) — likely SAQ A or SAQ A-EP</w:t>
      </w:r>
    </w:p>
    <w:p>
      <w:pPr>
        <w:pStyle w:val="ListParagraph"/>
        <w:numPr>
          <w:ilvl w:val="0"/>
          <w:numId w:val="1"/>
        </w:numPr>
      </w:pPr>
      <w:r>
        <w:t xml:space="preserve">[ ] Install and maintain network security controls (Req. 1)</w:t>
      </w:r>
    </w:p>
    <w:p>
      <w:pPr>
        <w:pStyle w:val="ListParagraph"/>
        <w:numPr>
          <w:ilvl w:val="0"/>
          <w:numId w:val="1"/>
        </w:numPr>
      </w:pPr>
      <w:r>
        <w:t xml:space="preserve">[ ] Apply secure configurations to all system components (Req. 2)</w:t>
      </w:r>
    </w:p>
    <w:p>
      <w:pPr>
        <w:pStyle w:val="ListParagraph"/>
        <w:numPr>
          <w:ilvl w:val="0"/>
          <w:numId w:val="1"/>
        </w:numPr>
      </w:pPr>
      <w:r>
        <w:t xml:space="preserve">[ ] Protect stored account data with strong cryptography (Req. 3)</w:t>
      </w:r>
    </w:p>
    <w:p>
      <w:pPr>
        <w:pStyle w:val="ListParagraph"/>
        <w:numPr>
          <w:ilvl w:val="0"/>
          <w:numId w:val="1"/>
        </w:numPr>
      </w:pPr>
      <w:r>
        <w:t xml:space="preserve">[ ] Encrypt cardholder data over open, public networks (Req. 4)</w:t>
      </w:r>
    </w:p>
    <w:p>
      <w:pPr>
        <w:pStyle w:val="ListParagraph"/>
        <w:numPr>
          <w:ilvl w:val="0"/>
          <w:numId w:val="1"/>
        </w:numPr>
      </w:pPr>
      <w:r>
        <w:t xml:space="preserve">[ ] Protect systems and networks from malicious software (Req. 5)</w:t>
      </w:r>
    </w:p>
    <w:p>
      <w:pPr>
        <w:pStyle w:val="ListParagraph"/>
        <w:numPr>
          <w:ilvl w:val="0"/>
          <w:numId w:val="1"/>
        </w:numPr>
      </w:pPr>
      <w:r>
        <w:t xml:space="preserve">[ ] Develop and maintain secure systems and software (Req. 6)</w:t>
      </w:r>
    </w:p>
    <w:p>
      <w:pPr>
        <w:pStyle w:val="ListParagraph"/>
        <w:numPr>
          <w:ilvl w:val="0"/>
          <w:numId w:val="1"/>
        </w:numPr>
      </w:pPr>
      <w:r>
        <w:t xml:space="preserve">[ ] Restrict access to cardholder data by business need-to-know (Req. 7)</w:t>
      </w:r>
    </w:p>
    <w:p>
      <w:pPr>
        <w:pStyle w:val="ListParagraph"/>
        <w:numPr>
          <w:ilvl w:val="0"/>
          <w:numId w:val="1"/>
        </w:numPr>
      </w:pPr>
      <w:r>
        <w:t xml:space="preserve">[ ] Log and monitor all access to cardholder data (Req. 10)</w:t>
      </w:r>
    </w:p>
    <w:p>
      <w:pPr>
        <w:pStyle w:val="ListParagraph"/>
        <w:numPr>
          <w:ilvl w:val="0"/>
          <w:numId w:val="1"/>
        </w:numPr>
      </w:pPr>
      <w:r>
        <w:t xml:space="preserve">[ ] Regularly test security systems and processes (Req. 11)</w:t>
      </w:r>
    </w:p>
    <w:p>
      <w:pPr>
        <w:pStyle w:val="ListParagraph"/>
        <w:numPr>
          <w:ilvl w:val="0"/>
          <w:numId w:val="1"/>
        </w:numPr>
      </w:pPr>
      <w:r>
        <w:t xml:space="preserve">[ ] Maintain an information security policy (Req. 12)</w:t>
      </w:r>
    </w:p>
    <w:p>
      <w:pPr>
        <w:pStyle w:val="Heading2"/>
      </w:pPr>
      <w:r>
        <w:t>6. Recommended Next Steps</w:t>
      </w:r>
    </w:p>
    <w:p>
      <w:pPr>
        <w:pStyle w:val="ListParagraph"/>
        <w:numPr>
          <w:ilvl w:val="0"/>
          <w:numId w:val="2"/>
        </w:numPr>
      </w:pPr>
      <w:r>
        <w:t xml:space="preserve">Review all generated compliance documents with qualified legal counsel</w:t>
      </w:r>
    </w:p>
    <w:p>
      <w:pPr>
        <w:pStyle w:val="ListParagraph"/>
        <w:numPr>
          <w:ilvl w:val="0"/>
          <w:numId w:val="2"/>
        </w:numPr>
      </w:pPr>
      <w:r>
        <w:t xml:space="preserve">Complete the checklist items marked above for each applicable regulation</w:t>
      </w:r>
    </w:p>
    <w:p>
      <w:pPr>
        <w:pStyle w:val="ListParagraph"/>
        <w:numPr>
          <w:ilvl w:val="0"/>
          <w:numId w:val="2"/>
        </w:numPr>
      </w:pPr>
      <w:r>
        <w:t xml:space="preserve">Implement technical measures (consent management, data subject request handling)</w:t>
      </w:r>
    </w:p>
    <w:p>
      <w:pPr>
        <w:pStyle w:val="ListParagraph"/>
        <w:numPr>
          <w:ilvl w:val="0"/>
          <w:numId w:val="2"/>
        </w:numPr>
      </w:pPr>
      <w:r>
        <w:t xml:space="preserve">Train relevant staff on data protection obligations</w:t>
      </w:r>
    </w:p>
    <w:p>
      <w:pPr>
        <w:pStyle w:val="ListParagraph"/>
        <w:numPr>
          <w:ilvl w:val="0"/>
          <w:numId w:val="2"/>
        </w:numPr>
      </w:pPr>
      <w:r>
        <w:t xml:space="preserve">Set up regular compliance reviews (recommended: quarterly)</w:t>
      </w:r>
    </w:p>
    <w:p>
      <w:pPr>
        <w:pStyle w:val="ListParagraph"/>
        <w:numPr>
          <w:ilvl w:val="0"/>
          <w:numId w:val="2"/>
        </w:numPr>
      </w:pPr>
      <w:r>
        <w:t xml:space="preserve">Re-run Codepliant after adding or removing services to keep documents current</w:t>
      </w:r>
    </w:p>
    <w:p>
      <w:pPr>
        <w:pBdr>
          <w:bottom w:val="single" w:sz="6" w:space="1" w:color="999999"/>
        </w:pBdr>
      </w:pPr>
    </w:p>
    <w:p>
      <w:r>
        <w:t xml:space="preserve">This compliance notes document was generated by [Codepliant](https://github.com/joechensmartz/codepliant) based on automated code analysis. It is for informational purposes only and does not constitute legal advice.</w:t>
      </w:r>
    </w:p>
    <w:sectPr>
      <w:pgSz w:w="12240" w:h="15840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  <w:lvlJc w:val="left"/>
      <w:pPr>
        <w:ind w:left="720" w:hanging="360"/>
      </w:pPr>
    </w:lvl>
  </w:abstractNum>
  <w:abstractNum w:abstractNumId="1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  <w:num w:numId="2">
    <w:abstractNumId w:val="1"/>
  </w:num>
</w:numbering>
</file>

<file path=word/styles.xml><?xml version="1.0" encoding="utf-8"?>
<w:styles xmlns:w="http://schemas.openxmlformats.org/wordprocessingml/2006/main">
  <w:style w:type="paragraph" w:styleId="Normal" w:default="1">
    <w:name w:val="Normal"/>
    <w:rPr>
      <w:sz w:val="22"/>
      <w:rFonts w:ascii="Calibri" w:hAnsi="Calibri"/>
    </w:rPr>
    <w:pPr>
      <w:spacing w:after="120"/>
    </w:pPr>
  </w:style>
  <w:style w:type="paragraph" w:styleId="Heading1">
    <w:name w:val="heading 1"/>
    <w:pPr>
      <w:spacing w:before="360" w:after="120"/>
    </w:pPr>
    <w:rPr>
      <w:sz w:val="36"/>
      <w:b/>
      <w:rFonts w:ascii="Calibri" w:hAnsi="Calibri"/>
      <w:color w:val="1F3864"/>
    </w:rPr>
  </w:style>
  <w:style w:type="paragraph" w:styleId="Heading2">
    <w:name w:val="heading 2"/>
    <w:pPr>
      <w:spacing w:before="240" w:after="80"/>
    </w:pPr>
    <w:rPr>
      <w:sz w:val="28"/>
      <w:b/>
      <w:rFonts w:ascii="Calibri" w:hAnsi="Calibri"/>
      <w:color w:val="2E75B6"/>
    </w:rPr>
  </w:style>
  <w:style w:type="paragraph" w:styleId="Heading3">
    <w:name w:val="heading 3"/>
    <w:pPr>
      <w:spacing w:before="200" w:after="80"/>
    </w:pPr>
    <w:rPr>
      <w:sz w:val="24"/>
      <w:b/>
      <w:rFonts w:ascii="Calibri" w:hAnsi="Calibri"/>
      <w:color w:val="404040"/>
    </w:rPr>
  </w:style>
  <w:style w:type="paragraph" w:styleId="Heading4">
    <w:name w:val="heading 4"/>
    <w:pPr>
      <w:spacing w:before="160" w:after="80"/>
    </w:pPr>
    <w:rPr>
      <w:sz w:val="22"/>
      <w:b/>
      <w:i/>
      <w:rFonts w:ascii="Calibri" w:hAnsi="Calibri"/>
    </w:rPr>
  </w:style>
  <w:style w:type="paragraph" w:styleId="ListParagraph">
    <w:name w:val="List Paragraph"/>
    <w:pPr>
      <w:ind w:left="720"/>
      <w:spacing w:after="60"/>
    </w:pPr>
    <w:rPr>
      <w:sz w:val="22"/>
      <w:rFonts w:ascii="Calibri" w:hAnsi="Calibri"/>
    </w:rPr>
  </w:style>
  <w:style w:type="paragraph" w:styleId="Code">
    <w:name w:val="Code"/>
    <w:pPr>
      <w:spacing w:after="0"/>
      <w:shd w:val="clear" w:fill="F5F5F5"/>
    </w:pPr>
    <w:rPr>
      <w:sz w:val="18"/>
      <w:rFonts w:ascii="Courier New" w:hAnsi="Courier New"/>
    </w:rPr>
  </w:style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</Relationships>
</file>